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9E417">
      <w:pPr>
        <w:widowControl/>
        <w:spacing w:line="600" w:lineRule="exact"/>
        <w:ind w:firstLine="880" w:firstLineChars="200"/>
        <w:jc w:val="center"/>
        <w:rPr>
          <w:rFonts w:hint="eastAsia" w:eastAsia="方正小标宋_GBK"/>
          <w:bCs/>
          <w:kern w:val="0"/>
          <w:sz w:val="36"/>
          <w:szCs w:val="36"/>
          <w:lang w:val="en-US" w:eastAsia="zh-CN"/>
        </w:rPr>
      </w:pPr>
      <w:r>
        <w:rPr>
          <w:rFonts w:hint="eastAsia" w:eastAsia="方正小标宋_GBK"/>
          <w:bCs/>
          <w:kern w:val="0"/>
          <w:sz w:val="44"/>
          <w:szCs w:val="44"/>
          <w:lang w:val="en-US" w:eastAsia="zh-CN"/>
        </w:rPr>
        <w:t>2023年江永县千家峒瑶族乡中心幼儿园</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36"/>
          <w:szCs w:val="36"/>
          <w:lang w:val="en-US" w:eastAsia="zh-CN"/>
        </w:rPr>
        <w:t>公开</w:t>
      </w:r>
    </w:p>
    <w:p w14:paraId="70E4AB61">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2563E333">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江永县千家峒瑶族乡中心幼儿园</w:t>
      </w:r>
      <w:r>
        <w:rPr>
          <w:rFonts w:eastAsia="仿宋_GB2312"/>
          <w:b/>
          <w:bCs/>
          <w:kern w:val="0"/>
          <w:sz w:val="32"/>
          <w:szCs w:val="32"/>
        </w:rPr>
        <w:t>部门概况</w:t>
      </w:r>
    </w:p>
    <w:p w14:paraId="24E6724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15945FB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1D22B28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50BD397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55AF576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678C7D7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7DAE4AD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5A0511E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1C6C025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6CBD0B4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65161A76">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69BB8350">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05BCD18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55BEB33D">
      <w:pPr>
        <w:spacing w:line="600" w:lineRule="exact"/>
        <w:ind w:firstLine="640" w:firstLineChars="200"/>
        <w:jc w:val="left"/>
        <w:rPr>
          <w:rFonts w:eastAsia="仿宋_GB2312"/>
          <w:sz w:val="32"/>
          <w:szCs w:val="32"/>
        </w:rPr>
      </w:pPr>
      <w:r>
        <w:rPr>
          <w:rFonts w:eastAsia="仿宋_GB2312"/>
          <w:sz w:val="32"/>
          <w:szCs w:val="32"/>
        </w:rPr>
        <w:t>2、收入决算情况说明</w:t>
      </w:r>
    </w:p>
    <w:p w14:paraId="67B6D57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4896098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36A501D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5EC23A9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28B843E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450497B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1D3BAE6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09C112F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19DF85E9">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3A9F0F3E">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2B8185F0">
      <w:pPr>
        <w:widowControl/>
        <w:spacing w:line="600" w:lineRule="exact"/>
        <w:ind w:firstLine="720" w:firstLineChars="200"/>
        <w:jc w:val="center"/>
        <w:rPr>
          <w:rFonts w:hint="eastAsia" w:eastAsia="方正小标宋_GBK"/>
          <w:bCs/>
          <w:kern w:val="0"/>
          <w:sz w:val="36"/>
          <w:szCs w:val="36"/>
        </w:rPr>
      </w:pPr>
    </w:p>
    <w:p w14:paraId="2E382B47">
      <w:pPr>
        <w:widowControl/>
        <w:spacing w:line="600" w:lineRule="exact"/>
        <w:ind w:firstLine="720" w:firstLineChars="200"/>
        <w:jc w:val="center"/>
        <w:rPr>
          <w:rFonts w:hint="eastAsia" w:eastAsia="方正小标宋_GBK"/>
          <w:bCs/>
          <w:kern w:val="0"/>
          <w:sz w:val="36"/>
          <w:szCs w:val="36"/>
        </w:rPr>
      </w:pPr>
    </w:p>
    <w:p w14:paraId="5CEA8F67">
      <w:pPr>
        <w:widowControl/>
        <w:spacing w:line="600" w:lineRule="exact"/>
        <w:ind w:firstLine="720" w:firstLineChars="200"/>
        <w:jc w:val="center"/>
        <w:rPr>
          <w:rFonts w:hint="eastAsia" w:eastAsia="方正小标宋_GBK"/>
          <w:bCs/>
          <w:kern w:val="0"/>
          <w:sz w:val="36"/>
          <w:szCs w:val="36"/>
        </w:rPr>
      </w:pPr>
    </w:p>
    <w:p w14:paraId="0A447811">
      <w:pPr>
        <w:widowControl/>
        <w:spacing w:line="600" w:lineRule="exact"/>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江永县千家峒瑶族乡中心幼儿园</w:t>
      </w:r>
      <w:r>
        <w:rPr>
          <w:rFonts w:hint="eastAsia" w:eastAsia="方正小标宋_GBK"/>
          <w:bCs/>
          <w:kern w:val="0"/>
          <w:sz w:val="36"/>
          <w:szCs w:val="36"/>
        </w:rPr>
        <w:t>部门概况</w:t>
      </w:r>
    </w:p>
    <w:p w14:paraId="2074D502">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30EEEE60">
      <w:pPr>
        <w:widowControl/>
        <w:spacing w:line="600" w:lineRule="exact"/>
        <w:ind w:firstLine="643" w:firstLineChars="200"/>
        <w:rPr>
          <w:rFonts w:hint="eastAsia" w:ascii="仿宋" w:hAnsi="仿宋" w:eastAsia="仿宋" w:cs="方正仿宋_GB2312"/>
          <w:sz w:val="32"/>
          <w:szCs w:val="32"/>
        </w:rPr>
      </w:pPr>
      <w:r>
        <w:rPr>
          <w:rFonts w:hint="eastAsia" w:ascii="楷体_GB2312" w:hAnsi="宋体" w:eastAsia="楷体_GB2312"/>
          <w:b/>
          <w:bCs/>
          <w:kern w:val="0"/>
          <w:sz w:val="32"/>
          <w:szCs w:val="32"/>
        </w:rPr>
        <w:t>（一）</w:t>
      </w:r>
      <w:r>
        <w:rPr>
          <w:rFonts w:hint="eastAsia" w:ascii="仿宋" w:hAnsi="仿宋" w:eastAsia="仿宋" w:cs="方正仿宋_GB2312"/>
          <w:sz w:val="32"/>
          <w:szCs w:val="32"/>
        </w:rPr>
        <w:t>贯彻执行国家教育方针政策，深化教育改革，稳步提高教育质量，巩固学前教育五大领域的成功，促进教育失业的发展，保障人员经费，提高教师队伍的幸福感，管好永华预算内资金，改善和优化幼儿园的办园条件，促进幼儿的全面发展，把教育教学质量放在首位，办人民满意的教育。</w:t>
      </w:r>
    </w:p>
    <w:p w14:paraId="2942AD24">
      <w:pPr>
        <w:widowControl/>
        <w:spacing w:line="600" w:lineRule="exact"/>
        <w:ind w:firstLine="643" w:firstLineChars="200"/>
        <w:rPr>
          <w:rFonts w:hint="eastAsia" w:ascii="仿宋" w:hAnsi="仿宋" w:eastAsia="仿宋" w:cs="方正仿宋_GB2312"/>
          <w:sz w:val="32"/>
          <w:szCs w:val="32"/>
        </w:rPr>
      </w:pPr>
      <w:r>
        <w:rPr>
          <w:rFonts w:hint="eastAsia" w:ascii="楷体_GB2312" w:hAnsi="宋体" w:eastAsia="楷体_GB2312"/>
          <w:b/>
          <w:bCs/>
          <w:kern w:val="0"/>
          <w:sz w:val="32"/>
          <w:szCs w:val="32"/>
        </w:rPr>
        <w:t>（二）</w:t>
      </w:r>
      <w:r>
        <w:rPr>
          <w:rFonts w:hint="eastAsia" w:ascii="仿宋" w:hAnsi="仿宋" w:eastAsia="仿宋" w:cs="方正仿宋_GB2312"/>
          <w:sz w:val="32"/>
          <w:szCs w:val="32"/>
        </w:rPr>
        <w:t>后勤保障与支持</w:t>
      </w:r>
      <w:r>
        <w:rPr>
          <w:rFonts w:hint="eastAsia" w:ascii="仿宋" w:hAnsi="仿宋" w:eastAsia="仿宋" w:cs="方正仿宋_GB2312"/>
          <w:sz w:val="32"/>
          <w:szCs w:val="32"/>
          <w:lang w:eastAsia="zh-CN"/>
        </w:rPr>
        <w:t>。</w:t>
      </w:r>
      <w:r>
        <w:rPr>
          <w:rFonts w:hint="eastAsia" w:ascii="仿宋" w:hAnsi="仿宋" w:eastAsia="仿宋" w:cs="方正仿宋_GB2312"/>
          <w:sz w:val="32"/>
          <w:szCs w:val="32"/>
        </w:rPr>
        <w:t>负责幼儿园的设施设备管理、物资采购与供应、环境维护与安全保卫等工作，为教育教学和保育工作提供坚实的物质基础和安全保障。同时，也负责财务管理和行政事务，确保幼儿园运营的顺畅和高效。</w:t>
      </w:r>
    </w:p>
    <w:p w14:paraId="637E4818">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7BB9C543">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r>
        <w:rPr>
          <w:rFonts w:hint="eastAsia" w:eastAsia="仿宋_GB2312"/>
          <w:sz w:val="32"/>
          <w:szCs w:val="32"/>
          <w:lang w:val="en-US" w:eastAsia="zh-CN"/>
        </w:rPr>
        <w:t>江永县千家峒瑶族乡中心幼儿园</w:t>
      </w:r>
      <w:r>
        <w:rPr>
          <w:rFonts w:eastAsia="仿宋_GB2312"/>
          <w:bCs/>
          <w:kern w:val="0"/>
          <w:sz w:val="32"/>
          <w:szCs w:val="32"/>
        </w:rPr>
        <w:t>单位内设机构</w:t>
      </w:r>
      <w:r>
        <w:rPr>
          <w:rFonts w:hint="eastAsia" w:eastAsia="仿宋_GB2312"/>
          <w:bCs/>
          <w:kern w:val="0"/>
          <w:sz w:val="32"/>
          <w:szCs w:val="32"/>
          <w:lang w:val="en-US" w:eastAsia="zh-CN"/>
        </w:rPr>
        <w:t>1个，无下属单位。</w:t>
      </w:r>
    </w:p>
    <w:p w14:paraId="50BA6E25">
      <w:pPr>
        <w:widowControl/>
        <w:spacing w:line="600" w:lineRule="exact"/>
        <w:ind w:firstLine="643" w:firstLineChars="200"/>
        <w:rPr>
          <w:rFonts w:hint="eastAsia" w:ascii="楷体_GB2312" w:hAnsi="宋体" w:eastAsia="仿宋_GB2312"/>
          <w:b/>
          <w:bCs/>
          <w:kern w:val="0"/>
          <w:sz w:val="32"/>
          <w:szCs w:val="32"/>
          <w:lang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r>
        <w:rPr>
          <w:rFonts w:hint="eastAsia" w:eastAsia="仿宋_GB2312"/>
          <w:bCs/>
          <w:kern w:val="0"/>
          <w:sz w:val="32"/>
          <w:szCs w:val="32"/>
          <w:lang w:val="en-US" w:eastAsia="zh-CN"/>
        </w:rPr>
        <w:t>江永县千家峒瑶族乡中心幼儿园</w:t>
      </w:r>
      <w:r>
        <w:rPr>
          <w:rFonts w:eastAsia="仿宋_GB2312"/>
          <w:bCs/>
          <w:kern w:val="0"/>
          <w:sz w:val="32"/>
          <w:szCs w:val="32"/>
        </w:rPr>
        <w:t>单位</w:t>
      </w:r>
      <w:r>
        <w:rPr>
          <w:rFonts w:hint="eastAsia" w:eastAsia="仿宋_GB2312"/>
          <w:bCs/>
          <w:kern w:val="0"/>
          <w:sz w:val="32"/>
          <w:szCs w:val="32"/>
          <w:lang w:val="en-US" w:eastAsia="zh-CN"/>
        </w:rPr>
        <w:t>2023</w:t>
      </w:r>
      <w:r>
        <w:rPr>
          <w:rFonts w:eastAsia="仿宋_GB2312"/>
          <w:bCs/>
          <w:kern w:val="0"/>
          <w:sz w:val="32"/>
          <w:szCs w:val="32"/>
        </w:rPr>
        <w:t>年部门决算汇总公开单位构成包括：</w:t>
      </w:r>
      <w:r>
        <w:rPr>
          <w:rFonts w:hint="eastAsia" w:eastAsia="仿宋_GB2312"/>
          <w:bCs/>
          <w:kern w:val="0"/>
          <w:sz w:val="32"/>
          <w:szCs w:val="32"/>
          <w:lang w:val="en-US" w:eastAsia="zh-CN"/>
        </w:rPr>
        <w:t>江永县千家峒瑶族乡中心幼儿园</w:t>
      </w:r>
      <w:r>
        <w:rPr>
          <w:rFonts w:eastAsia="仿宋_GB2312"/>
          <w:bCs/>
          <w:kern w:val="0"/>
          <w:sz w:val="32"/>
          <w:szCs w:val="32"/>
        </w:rPr>
        <w:t>单位本级</w:t>
      </w:r>
      <w:r>
        <w:rPr>
          <w:rFonts w:hint="eastAsia" w:eastAsia="仿宋_GB2312"/>
          <w:bCs/>
          <w:kern w:val="0"/>
          <w:sz w:val="32"/>
          <w:szCs w:val="32"/>
          <w:lang w:eastAsia="zh-CN"/>
        </w:rPr>
        <w:t>。</w:t>
      </w:r>
    </w:p>
    <w:p w14:paraId="50513DBA">
      <w:pPr>
        <w:widowControl/>
        <w:spacing w:line="600" w:lineRule="exact"/>
        <w:ind w:firstLine="640" w:firstLineChars="200"/>
        <w:rPr>
          <w:rFonts w:eastAsia="仿宋_GB2312"/>
          <w:bCs/>
          <w:kern w:val="0"/>
          <w:sz w:val="32"/>
          <w:szCs w:val="32"/>
        </w:rPr>
      </w:pPr>
    </w:p>
    <w:p w14:paraId="59C37907">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4E43B120">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7494F8C5">
      <w:pPr>
        <w:widowControl/>
        <w:tabs>
          <w:tab w:val="left" w:pos="7807"/>
        </w:tabs>
        <w:spacing w:line="600" w:lineRule="exact"/>
        <w:ind w:firstLine="720" w:firstLineChars="200"/>
        <w:jc w:val="both"/>
        <w:rPr>
          <w:rFonts w:hint="eastAsia" w:eastAsia="方正小标宋_GBK"/>
          <w:bCs/>
          <w:kern w:val="0"/>
          <w:sz w:val="36"/>
          <w:szCs w:val="36"/>
        </w:rPr>
      </w:pPr>
    </w:p>
    <w:p w14:paraId="6FD61640">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C1F403E">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60701FC3">
      <w:pPr>
        <w:pStyle w:val="15"/>
        <w:spacing w:line="600" w:lineRule="exact"/>
        <w:ind w:firstLine="643" w:firstLineChars="200"/>
        <w:rPr>
          <w:rFonts w:hint="default"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231.0593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本单位为新增单位。</w:t>
      </w:r>
    </w:p>
    <w:p w14:paraId="65354F2A">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5AEFDE1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231.0593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231.0593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AD2190D">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0DFAD208">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231.0593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64.3637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27.86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166.6956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72.14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3794611">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07E1FD67">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231.0593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本单位为新增单位。</w:t>
      </w:r>
    </w:p>
    <w:p w14:paraId="7CD607CE">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2A02A5C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42E6727D">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231.0593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p>
    <w:p w14:paraId="7A4B3FD9">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4837B45A">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231.0593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w:t>
      </w:r>
      <w:r>
        <w:rPr>
          <w:rFonts w:hint="eastAsia" w:ascii="Times New Roman" w:hAnsi="Times New Roman" w:eastAsia="仿宋_GB2312"/>
          <w:color w:val="000000"/>
          <w:sz w:val="32"/>
          <w:szCs w:val="32"/>
          <w:lang w:val="en-US" w:eastAsia="zh-CN"/>
        </w:rPr>
        <w:t>人员经费</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46.9807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20.34</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主要包括：</w:t>
      </w:r>
      <w:r>
        <w:rPr>
          <w:rFonts w:ascii="Times New Roman" w:hAnsi="Times New Roman" w:eastAsia="仿宋_GB2312"/>
          <w:color w:val="000000"/>
          <w:sz w:val="32"/>
          <w:szCs w:val="32"/>
        </w:rPr>
        <w:t>基本工资、津贴补贴、奖金、</w:t>
      </w:r>
      <w:r>
        <w:rPr>
          <w:rFonts w:hint="eastAsia" w:ascii="Times New Roman" w:hAnsi="Times New Roman" w:eastAsia="仿宋_GB2312"/>
          <w:color w:val="000000"/>
          <w:sz w:val="32"/>
          <w:szCs w:val="32"/>
          <w:lang w:eastAsia="zh-CN"/>
        </w:rPr>
        <w:t>绩效工资、机关事业单位基本养老保险缴费、职业年金缴费、职工基本医疗保险缴费、其他社会保障缴费、住房公积金</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公用经费</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17.383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7.52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主要包括：办公用品及设备、信息网络及软件购置更新等；项目支出</w:t>
      </w:r>
      <w:r>
        <w:rPr>
          <w:rFonts w:hint="eastAsia" w:ascii="Times New Roman" w:hAnsi="Times New Roman" w:eastAsia="仿宋_GB2312"/>
          <w:color w:val="000000"/>
          <w:sz w:val="32"/>
          <w:szCs w:val="32"/>
          <w:u w:val="single"/>
          <w:lang w:val="en-US" w:eastAsia="zh-CN"/>
        </w:rPr>
        <w:t>166.6956</w:t>
      </w:r>
      <w:r>
        <w:rPr>
          <w:rFonts w:hint="eastAsia" w:ascii="Times New Roman" w:hAnsi="Times New Roman" w:eastAsia="仿宋_GB2312"/>
          <w:color w:val="000000"/>
          <w:sz w:val="32"/>
          <w:szCs w:val="32"/>
          <w:lang w:val="en-US" w:eastAsia="zh-CN"/>
        </w:rPr>
        <w:t>万元，占72.14%，其中包括幼儿园新园建设项目。</w:t>
      </w:r>
    </w:p>
    <w:p w14:paraId="11B986FF">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2C9B6ACE">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本单位为新增单位，无2023</w:t>
      </w:r>
      <w:r>
        <w:rPr>
          <w:rFonts w:ascii="Times New Roman" w:hAnsi="Times New Roman" w:eastAsia="仿宋_GB2312"/>
          <w:color w:val="000000"/>
          <w:sz w:val="32"/>
          <w:szCs w:val="32"/>
        </w:rPr>
        <w:t>年度财政拨款支出年初预算</w:t>
      </w:r>
      <w:r>
        <w:rPr>
          <w:rFonts w:hint="eastAsia" w:ascii="Times New Roman" w:hAnsi="Times New Roman" w:eastAsia="仿宋_GB2312"/>
          <w:color w:val="000000"/>
          <w:sz w:val="32"/>
          <w:szCs w:val="32"/>
          <w:lang w:eastAsia="zh-CN"/>
        </w:rPr>
        <w:t>。</w:t>
      </w:r>
    </w:p>
    <w:p w14:paraId="723402F6">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4FD847B9">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64.3637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46.9807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val="en-US" w:eastAsia="zh-CN"/>
        </w:rPr>
        <w:t>机关事业单位基本养老保险费、其他社会保障缴费、住房公积金等等</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17.383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w:t>
      </w:r>
      <w:r>
        <w:rPr>
          <w:rFonts w:hint="eastAsia" w:ascii="Times New Roman" w:hAnsi="Times New Roman" w:eastAsia="仿宋_GB2312"/>
          <w:color w:val="000000"/>
          <w:sz w:val="32"/>
          <w:szCs w:val="32"/>
          <w:lang w:val="en-US" w:eastAsia="zh-CN"/>
        </w:rPr>
        <w:t>商品和服务支出费、</w:t>
      </w:r>
      <w:r>
        <w:rPr>
          <w:rFonts w:ascii="Times New Roman" w:hAnsi="Times New Roman" w:eastAsia="仿宋_GB2312"/>
          <w:color w:val="000000"/>
          <w:sz w:val="32"/>
          <w:szCs w:val="32"/>
        </w:rPr>
        <w:t>办公费、</w:t>
      </w:r>
      <w:r>
        <w:rPr>
          <w:rFonts w:hint="eastAsia" w:ascii="Times New Roman" w:hAnsi="Times New Roman" w:eastAsia="仿宋_GB2312"/>
          <w:color w:val="000000"/>
          <w:sz w:val="32"/>
          <w:szCs w:val="32"/>
          <w:lang w:val="en-US" w:eastAsia="zh-CN"/>
        </w:rPr>
        <w:t>水电费、差旅费、公务接待费、信息网络及软件购置更新费等。</w:t>
      </w:r>
    </w:p>
    <w:p w14:paraId="7FF3DDF4">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07488BE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43FFEE7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1.03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71FD3754">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BA1C817">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98.1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w:t>
      </w:r>
      <w:r>
        <w:rPr>
          <w:rFonts w:hint="eastAsia" w:ascii="Times New Roman" w:hAnsi="Times New Roman" w:eastAsia="仿宋_GB2312"/>
          <w:color w:val="000000"/>
          <w:sz w:val="32"/>
          <w:szCs w:val="32"/>
          <w:lang w:val="en-US" w:eastAsia="zh-CN"/>
        </w:rPr>
        <w:t>小于</w:t>
      </w:r>
      <w:r>
        <w:rPr>
          <w:rFonts w:ascii="Times New Roman" w:hAnsi="Times New Roman" w:eastAsia="仿宋_GB2312"/>
          <w:color w:val="000000"/>
          <w:sz w:val="32"/>
          <w:szCs w:val="32"/>
        </w:rPr>
        <w:t>年初预算数的主要原因是</w:t>
      </w:r>
      <w:r>
        <w:rPr>
          <w:rFonts w:hint="eastAsia" w:ascii="Times New Roman" w:hAnsi="Times New Roman" w:eastAsia="仿宋_GB2312"/>
          <w:color w:val="000000"/>
          <w:sz w:val="32"/>
          <w:szCs w:val="32"/>
          <w:lang w:val="en-US" w:eastAsia="zh-CN"/>
        </w:rPr>
        <w:t>积极响应厉行节约的号召，严格控制行政成本，减少不必要的公务接待开支</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0.02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val="en-US" w:eastAsia="zh-CN"/>
        </w:rPr>
        <w:t>本单位在执行过程中，加强了对公务接待费的管理和审核，推进了线上办公的方式，减少因公务活动产生的接待需求，从而降低了公务接待费用</w:t>
      </w:r>
      <w:r>
        <w:rPr>
          <w:rFonts w:ascii="Times New Roman" w:hAnsi="Times New Roman" w:eastAsia="仿宋_GB2312"/>
          <w:color w:val="000000"/>
          <w:sz w:val="32"/>
          <w:szCs w:val="32"/>
        </w:rPr>
        <w:t>。</w:t>
      </w:r>
    </w:p>
    <w:p w14:paraId="1EEA69F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25649E6D">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7DEA42FF">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43B948A8">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37FC057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p>
    <w:p w14:paraId="7D126FD5">
      <w:pPr>
        <w:spacing w:line="600" w:lineRule="exact"/>
        <w:ind w:firstLine="640" w:firstLineChars="200"/>
        <w:rPr>
          <w:rFonts w:hint="eastAsia" w:eastAsia="仿宋_GB2312"/>
          <w:sz w:val="32"/>
          <w:szCs w:val="32"/>
          <w:lang w:eastAsia="zh-CN"/>
        </w:rPr>
      </w:pPr>
      <w:r>
        <w:rPr>
          <w:rFonts w:eastAsia="仿宋_GB2312"/>
          <w:sz w:val="32"/>
          <w:szCs w:val="32"/>
        </w:rPr>
        <w:t>3、</w:t>
      </w:r>
      <w:r>
        <w:rPr>
          <w:rFonts w:hint="eastAsia" w:eastAsia="仿宋_GB2312"/>
          <w:sz w:val="32"/>
          <w:szCs w:val="32"/>
          <w:lang w:val="en-US" w:eastAsia="zh-CN"/>
        </w:rPr>
        <w:t>无</w:t>
      </w:r>
      <w:r>
        <w:rPr>
          <w:rFonts w:eastAsia="仿宋_GB2312"/>
          <w:sz w:val="32"/>
          <w:szCs w:val="32"/>
        </w:rPr>
        <w:t>公务用车购置费及运行维护费</w:t>
      </w:r>
      <w:r>
        <w:rPr>
          <w:rFonts w:hint="eastAsia" w:eastAsia="仿宋_GB2312"/>
          <w:sz w:val="32"/>
          <w:szCs w:val="32"/>
          <w:lang w:eastAsia="zh-CN"/>
        </w:rPr>
        <w:t>。</w:t>
      </w:r>
    </w:p>
    <w:p w14:paraId="7276D718">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574061EC">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本单位无政府性基金预算收支。</w:t>
      </w:r>
    </w:p>
    <w:p w14:paraId="4EAA73D4">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58216C12">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2C9D23AC">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1E8B05AF">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25C9ACB6">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46.9807</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w:t>
      </w:r>
      <w:r>
        <w:rPr>
          <w:rFonts w:hint="eastAsia" w:eastAsia="仿宋_GB2312"/>
          <w:kern w:val="0"/>
          <w:sz w:val="32"/>
          <w:szCs w:val="32"/>
          <w:lang w:val="en-US" w:eastAsia="zh-CN"/>
        </w:rPr>
        <w:t>本单位为新增单位</w:t>
      </w:r>
      <w:r>
        <w:rPr>
          <w:rFonts w:eastAsia="仿宋_GB2312"/>
          <w:kern w:val="0"/>
          <w:sz w:val="32"/>
          <w:szCs w:val="32"/>
        </w:rPr>
        <w:t>。</w:t>
      </w:r>
    </w:p>
    <w:p w14:paraId="736CD22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7C1664C1">
      <w:pPr>
        <w:spacing w:line="600" w:lineRule="exact"/>
        <w:ind w:firstLine="640" w:firstLineChars="200"/>
        <w:rPr>
          <w:rFonts w:hint="default" w:eastAsia="仿宋_GB2312"/>
          <w:kern w:val="0"/>
          <w:sz w:val="32"/>
          <w:szCs w:val="32"/>
          <w:lang w:val="en-US" w:eastAsia="zh-CN"/>
        </w:rPr>
      </w:pPr>
      <w:r>
        <w:rPr>
          <w:rFonts w:hint="eastAsia" w:eastAsia="仿宋_GB2312"/>
          <w:kern w:val="0"/>
          <w:sz w:val="32"/>
          <w:szCs w:val="32"/>
          <w:lang w:val="en-US" w:eastAsia="zh-CN"/>
        </w:rPr>
        <w:t>本单位无一般性支出。</w:t>
      </w:r>
    </w:p>
    <w:p w14:paraId="15AA683A">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34D16258">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166.6956</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166.9656</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w:t>
      </w:r>
    </w:p>
    <w:p w14:paraId="45E99B3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33BC2DAC">
      <w:pPr>
        <w:spacing w:line="600" w:lineRule="exact"/>
        <w:ind w:firstLine="640" w:firstLineChars="200"/>
        <w:rPr>
          <w:rFonts w:hint="default" w:eastAsia="仿宋_GB2312"/>
          <w:kern w:val="0"/>
          <w:sz w:val="32"/>
          <w:szCs w:val="32"/>
          <w:lang w:val="en-US" w:eastAsia="zh-CN"/>
        </w:rPr>
      </w:pPr>
      <w:r>
        <w:rPr>
          <w:rFonts w:hint="eastAsia" w:eastAsia="仿宋_GB2312"/>
          <w:kern w:val="0"/>
          <w:sz w:val="32"/>
          <w:szCs w:val="32"/>
          <w:lang w:val="en-US" w:eastAsia="zh-CN"/>
        </w:rPr>
        <w:t>本单位无国有资产占用情况。</w:t>
      </w:r>
    </w:p>
    <w:p w14:paraId="756F6D26">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21E4FD9D">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10FAB296">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1F0334DA">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4D2BEE02">
      <w:pPr>
        <w:widowControl/>
        <w:spacing w:line="600" w:lineRule="exact"/>
        <w:ind w:firstLine="640" w:firstLineChars="200"/>
        <w:rPr>
          <w:rFonts w:hint="eastAsia" w:eastAsia="方正小标宋_GBK"/>
          <w:bCs/>
          <w:kern w:val="0"/>
          <w:sz w:val="36"/>
          <w:szCs w:val="36"/>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bookmarkStart w:id="0" w:name="_GoBack"/>
      <w:bookmarkEnd w:id="0"/>
    </w:p>
    <w:p w14:paraId="129FFAD5">
      <w:pPr>
        <w:shd w:val="solid" w:color="FFFFFF" w:fill="auto"/>
        <w:kinsoku/>
        <w:autoSpaceDE/>
        <w:autoSpaceDN w:val="0"/>
        <w:ind w:firstLine="1080" w:firstLineChars="300"/>
        <w:jc w:val="left"/>
        <w:rPr>
          <w:rFonts w:hint="eastAsia" w:eastAsia="方正小标宋_GBK"/>
          <w:bCs/>
          <w:kern w:val="0"/>
          <w:sz w:val="36"/>
          <w:szCs w:val="36"/>
        </w:rPr>
      </w:pPr>
    </w:p>
    <w:p w14:paraId="05C2A5DF">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7CFD2FB2">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4F79EA-4D6F-4445-8F83-DBCB196A73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9C342F8-F725-4E13-A86C-C8D0EAD6F324}"/>
  </w:font>
  <w:font w:name="仿宋_GB2312">
    <w:altName w:val="仿宋"/>
    <w:panose1 w:val="02010609030101010101"/>
    <w:charset w:val="86"/>
    <w:family w:val="auto"/>
    <w:pitch w:val="default"/>
    <w:sig w:usb0="00000000" w:usb1="00000000" w:usb2="00000000" w:usb3="00000000" w:csb0="00040000" w:csb1="00000000"/>
    <w:embedRegular r:id="rId3" w:fontKey="{D558B4F3-B9F9-48A9-9B0A-BD4FDE8FC281}"/>
  </w:font>
  <w:font w:name="仿宋">
    <w:panose1 w:val="02010609060101010101"/>
    <w:charset w:val="86"/>
    <w:family w:val="auto"/>
    <w:pitch w:val="default"/>
    <w:sig w:usb0="800002BF" w:usb1="38CF7CFA" w:usb2="00000016" w:usb3="00000000" w:csb0="00040001" w:csb1="00000000"/>
    <w:embedRegular r:id="rId4" w:fontKey="{DBA208CC-D9D9-453C-AC7D-D7D0C6D70562}"/>
  </w:font>
  <w:font w:name="方正仿宋_GB2312">
    <w:panose1 w:val="02000000000000000000"/>
    <w:charset w:val="86"/>
    <w:family w:val="auto"/>
    <w:pitch w:val="default"/>
    <w:sig w:usb0="A00002BF" w:usb1="184F6CFA" w:usb2="00000012" w:usb3="00000000" w:csb0="00040001" w:csb1="00000000"/>
    <w:embedRegular r:id="rId5" w:fontKey="{86113437-3FD0-4FCD-9303-F1F21AEE49FD}"/>
  </w:font>
  <w:font w:name="楷体_GB2312">
    <w:altName w:val="楷体"/>
    <w:panose1 w:val="02010609030101010101"/>
    <w:charset w:val="86"/>
    <w:family w:val="modern"/>
    <w:pitch w:val="default"/>
    <w:sig w:usb0="00000000" w:usb1="00000000" w:usb2="00000000" w:usb3="00000000" w:csb0="00040000" w:csb1="00000000"/>
    <w:embedRegular r:id="rId6" w:fontKey="{D9B06B20-47DC-46EC-910E-CCD74679C7F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6D582">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1A4E7">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260BF">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wNGY2M2MzNTY2ODIxMWY1ODk0ZjQ5ZGFjNGY0NWEifQ=="/>
  </w:docVars>
  <w:rsids>
    <w:rsidRoot w:val="00000000"/>
    <w:rsid w:val="053A3B22"/>
    <w:rsid w:val="1B0E38EF"/>
    <w:rsid w:val="1D126A49"/>
    <w:rsid w:val="24A20CED"/>
    <w:rsid w:val="286B7FD3"/>
    <w:rsid w:val="2CFF4FD7"/>
    <w:rsid w:val="3D0943C0"/>
    <w:rsid w:val="5BDC0D45"/>
    <w:rsid w:val="66E1288D"/>
    <w:rsid w:val="774249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3576</Words>
  <Characters>3794</Characters>
  <Lines>0</Lines>
  <Paragraphs>0</Paragraphs>
  <TotalTime>4</TotalTime>
  <ScaleCrop>false</ScaleCrop>
  <LinksUpToDate>false</LinksUpToDate>
  <CharactersWithSpaces>4136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2024-10-08T07:16:00Z</dcterms:created>
  <dc:creator>雪化春来</dc:creator>
  <cp:lastModifiedBy>雪化春来</cp:lastModifiedBy>
  <dcterms:modified xsi:type="dcterms:W3CDTF">2024-10-09T01:05:14Z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8A7F83ADCEF346EB901725579B46606F_12</vt:lpwstr>
  </property>
</Properties>
</file>